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350" w:rsidRDefault="00AB6E66">
      <w:pPr>
        <w:rPr>
          <w:b/>
        </w:rPr>
      </w:pPr>
      <w:bookmarkStart w:id="0" w:name="_GoBack"/>
      <w:r>
        <w:rPr>
          <w:b/>
        </w:rPr>
        <w:t>Lübecker Erklärung- Gegen Gewalt, Frauenhass und Antifeminismus</w:t>
      </w:r>
      <w:r w:rsidR="008F57B2">
        <w:rPr>
          <w:b/>
        </w:rPr>
        <w:tab/>
      </w:r>
      <w:r w:rsidR="008F57B2" w:rsidRPr="008F57B2">
        <w:rPr>
          <w:b/>
        </w:rPr>
        <w:tab/>
      </w:r>
    </w:p>
    <w:p w:rsidR="004621A7" w:rsidRDefault="00AB6E66" w:rsidP="00146C15">
      <w:r>
        <w:t>Die 29. Bundeskonferenz der kommunalen Frauen- und Gleichstellungsbeauftragten stellt sich klar gegen Antifemi</w:t>
      </w:r>
      <w:r w:rsidR="00C42445">
        <w:t xml:space="preserve">nismus, Gewalt und Frauenhass. </w:t>
      </w:r>
      <w:r>
        <w:t>Antifemi</w:t>
      </w:r>
      <w:r w:rsidR="00C42445">
        <w:t>nismus geht mit rechtsradikalen</w:t>
      </w:r>
      <w:r>
        <w:t xml:space="preserve"> aber auch konservativen Str</w:t>
      </w:r>
      <w:r w:rsidR="00E96173">
        <w:t xml:space="preserve">ömungen einher. Antifeminismus </w:t>
      </w:r>
      <w:r>
        <w:t xml:space="preserve">ist kein Randphänomen und zieht sich quer durch Parteien, Medien und gesellschaftliche Debatten. </w:t>
      </w:r>
      <w:r w:rsidR="00C42445">
        <w:t xml:space="preserve">Ziel von Antifeminismus </w:t>
      </w:r>
      <w:r w:rsidR="00A31B74">
        <w:t xml:space="preserve">ist es </w:t>
      </w:r>
      <w:r w:rsidR="004621A7">
        <w:t>Frauen</w:t>
      </w:r>
      <w:r w:rsidR="003F4FC4">
        <w:t>rechte zu beschneiden und tradierte Rollenbilder wieder aufleben zu lassen.</w:t>
      </w:r>
      <w:r>
        <w:t xml:space="preserve"> Antifeminismus bedroht die Grundsätze unserer Verfassung.</w:t>
      </w:r>
      <w:r>
        <w:rPr>
          <w:b/>
        </w:rPr>
        <w:t xml:space="preserve"> </w:t>
      </w:r>
      <w:r w:rsidR="008F57B2">
        <w:rPr>
          <w:b/>
        </w:rPr>
        <w:t xml:space="preserve"> </w:t>
      </w:r>
      <w:r>
        <w:t xml:space="preserve">Antifeminismus hat eine große Basis bei religiösen Fundamentalisten, völkischen Bewegungen und Rechtsextremisten und fungiert als </w:t>
      </w:r>
      <w:r w:rsidR="00146C15" w:rsidRPr="00146C15">
        <w:rPr>
          <w:b/>
        </w:rPr>
        <w:t xml:space="preserve">gefährliche </w:t>
      </w:r>
      <w:r w:rsidRPr="00146C15">
        <w:rPr>
          <w:b/>
        </w:rPr>
        <w:t>Brückenideologie</w:t>
      </w:r>
      <w:r>
        <w:t xml:space="preserve"> für verfassungsfeindliche Ansichten bis in die bürgerliche Mitte. Gemeinsam bilden sie ein Netzwerk, das gezielt mit irreführenden Behauptungen arbeitet- etwa mit dem Narrativ, Feminismus zerstöre die Familie und schade Kindern. Belege gibt es dafür nicht. Solche und andere Narrative werden von extrem rechten Plattformen und Medien verbreitet und verstärkt. Als eindrückliches Beispiel gilt hier die Causa</w:t>
      </w:r>
      <w:r w:rsidR="00C42445">
        <w:t xml:space="preserve"> </w:t>
      </w:r>
      <w:proofErr w:type="spellStart"/>
      <w:r w:rsidR="00C42445">
        <w:t>Brosius-Gersdorf</w:t>
      </w:r>
      <w:proofErr w:type="spellEnd"/>
      <w:r w:rsidR="00C42445">
        <w:t xml:space="preserve">. Ziel ist es, </w:t>
      </w:r>
      <w:r>
        <w:t xml:space="preserve">Frauen zu diffamieren, Politikerinnen oder andere Frauen in der Öffentlichkeit zu beschädigen, gegen Lehrinhalte von Schulen und Universitäten </w:t>
      </w:r>
      <w:r w:rsidR="009D5D44">
        <w:t>vorzugehen</w:t>
      </w:r>
      <w:r>
        <w:t xml:space="preserve"> oder zu fordern</w:t>
      </w:r>
      <w:r w:rsidR="00C42445">
        <w:t>,</w:t>
      </w:r>
      <w:r>
        <w:t xml:space="preserve"> die Pflicht zur Bestellung kommunaler Gleichstellungsbeauftragter abzuschaffen.</w:t>
      </w:r>
      <w:r>
        <w:br/>
        <w:t xml:space="preserve">Wer die Gefahr des Antifeminismus verhindern und der Aushöhlung unserer demokratischen Grundwerte entgegentreten will, muss Gleichstellung schützen und fördern. Wie wichtig das ist, zeigen Beispiele aus Ländern, in denen politische Verantwortliche vermehrt Frauenrechte, Strukturen und Institutionen der Gleichstellung schwächen, verbieten oder angreifen. </w:t>
      </w:r>
      <w:r>
        <w:br/>
        <w:t>Solche Tendenzen sehen wir auch in Deutschland</w:t>
      </w:r>
      <w:r w:rsidR="004621A7">
        <w:t>.</w:t>
      </w:r>
      <w:r w:rsidR="008F57B2">
        <w:br/>
      </w:r>
      <w:r w:rsidR="004621A7">
        <w:rPr>
          <w:b/>
        </w:rPr>
        <w:t>Um Frauen</w:t>
      </w:r>
      <w:r w:rsidR="00146C15">
        <w:rPr>
          <w:b/>
        </w:rPr>
        <w:t>rechte</w:t>
      </w:r>
      <w:r w:rsidR="00C43DA6">
        <w:rPr>
          <w:b/>
        </w:rPr>
        <w:t xml:space="preserve"> und </w:t>
      </w:r>
      <w:r w:rsidR="00CC2077">
        <w:rPr>
          <w:b/>
        </w:rPr>
        <w:t xml:space="preserve">damit </w:t>
      </w:r>
      <w:r w:rsidR="00AD7D21">
        <w:rPr>
          <w:b/>
        </w:rPr>
        <w:t xml:space="preserve">unsere Demokratie zu schützen und Gleichstellungsarbeit </w:t>
      </w:r>
      <w:r w:rsidR="004621A7">
        <w:rPr>
          <w:b/>
        </w:rPr>
        <w:t xml:space="preserve">zu stärken, </w:t>
      </w:r>
      <w:r w:rsidR="00146C15">
        <w:rPr>
          <w:b/>
        </w:rPr>
        <w:t>fordern wir:</w:t>
      </w:r>
      <w:r w:rsidR="00146C15" w:rsidRPr="00146C15">
        <w:t xml:space="preserve"> </w:t>
      </w:r>
    </w:p>
    <w:p w:rsidR="00AD7D21" w:rsidRDefault="00C43DA6" w:rsidP="004621A7">
      <w:pPr>
        <w:pStyle w:val="Listenabsatz"/>
        <w:numPr>
          <w:ilvl w:val="0"/>
          <w:numId w:val="1"/>
        </w:numPr>
      </w:pPr>
      <w:r>
        <w:t>Eine g</w:t>
      </w:r>
      <w:r w:rsidR="004621A7" w:rsidRPr="004621A7">
        <w:t>ezielte Aufklärung und Öffentlichkeitsarbeit zu frauenverachtenden Rollenklischees, als aktive Prävention gegen geschlechtsspezifische Gewalt</w:t>
      </w:r>
      <w:r w:rsidR="00AD7D21">
        <w:t>.</w:t>
      </w:r>
    </w:p>
    <w:p w:rsidR="004621A7" w:rsidRDefault="00C43DA6" w:rsidP="004621A7">
      <w:pPr>
        <w:pStyle w:val="Listenabsatz"/>
        <w:numPr>
          <w:ilvl w:val="0"/>
          <w:numId w:val="1"/>
        </w:numPr>
      </w:pPr>
      <w:r>
        <w:t>Die v</w:t>
      </w:r>
      <w:r w:rsidR="004621A7" w:rsidRPr="004621A7">
        <w:t>erstärkte Auseinandersetzu</w:t>
      </w:r>
      <w:r w:rsidR="00384FC8">
        <w:t>ng</w:t>
      </w:r>
      <w:r w:rsidR="00AD7D21">
        <w:t>, insbesondere mit Kindern und Jugendlichen</w:t>
      </w:r>
      <w:r w:rsidR="00CD0262">
        <w:t xml:space="preserve">, </w:t>
      </w:r>
      <w:r w:rsidR="00787635">
        <w:t xml:space="preserve">mit </w:t>
      </w:r>
      <w:r w:rsidR="00384FC8">
        <w:t>ü</w:t>
      </w:r>
      <w:r w:rsidR="00AD7D21">
        <w:t>berholten Rollenbildern</w:t>
      </w:r>
      <w:r w:rsidR="00787635">
        <w:t>,</w:t>
      </w:r>
      <w:r w:rsidR="00AD7D21">
        <w:t xml:space="preserve"> um </w:t>
      </w:r>
      <w:r w:rsidR="00787635">
        <w:t>Stereotypen frühzeitig entgegenzu</w:t>
      </w:r>
      <w:r w:rsidR="00AD7D21">
        <w:t xml:space="preserve">wirken. </w:t>
      </w:r>
    </w:p>
    <w:p w:rsidR="004621A7" w:rsidRPr="00CD0262" w:rsidRDefault="00C43DA6" w:rsidP="004621A7">
      <w:pPr>
        <w:pStyle w:val="Listenabsatz"/>
        <w:numPr>
          <w:ilvl w:val="0"/>
          <w:numId w:val="1"/>
        </w:numPr>
      </w:pPr>
      <w:r>
        <w:t xml:space="preserve">Die </w:t>
      </w:r>
      <w:r w:rsidR="00CC2077">
        <w:t>B</w:t>
      </w:r>
      <w:r w:rsidR="004621A7">
        <w:t>eseitigung der Unterrepräsentanz von Frauen in politischen Entscheidungsgremien und Führungspositionen</w:t>
      </w:r>
      <w:r w:rsidR="00C42445">
        <w:t>,</w:t>
      </w:r>
      <w:r w:rsidR="004621A7">
        <w:t xml:space="preserve"> </w:t>
      </w:r>
      <w:r w:rsidR="00787635">
        <w:t xml:space="preserve">um eine gleichberechtigte </w:t>
      </w:r>
      <w:r w:rsidR="00AD7D21" w:rsidRPr="00CD0262">
        <w:t>Teilhabe</w:t>
      </w:r>
      <w:r w:rsidR="00787635">
        <w:t xml:space="preserve"> zu stär</w:t>
      </w:r>
      <w:r w:rsidR="00C42445">
        <w:t>k</w:t>
      </w:r>
      <w:r w:rsidR="00787635">
        <w:t>en und</w:t>
      </w:r>
      <w:r w:rsidR="00AD7D21" w:rsidRPr="00CD0262">
        <w:t xml:space="preserve"> die Demokratie</w:t>
      </w:r>
      <w:r w:rsidR="00787635">
        <w:t xml:space="preserve"> zu festigen</w:t>
      </w:r>
      <w:r w:rsidR="00AD7D21" w:rsidRPr="00CD0262">
        <w:t xml:space="preserve">.  </w:t>
      </w:r>
    </w:p>
    <w:p w:rsidR="00CD0262" w:rsidRDefault="00C43DA6" w:rsidP="00CD0262">
      <w:pPr>
        <w:pStyle w:val="Listenabsatz"/>
        <w:numPr>
          <w:ilvl w:val="0"/>
          <w:numId w:val="1"/>
        </w:numPr>
      </w:pPr>
      <w:r>
        <w:t>Die u</w:t>
      </w:r>
      <w:r w:rsidR="00CD0262">
        <w:t>mfassende Sicherung von r</w:t>
      </w:r>
      <w:r w:rsidR="004621A7">
        <w:t>eproduktive</w:t>
      </w:r>
      <w:r w:rsidR="00CD0262">
        <w:t>n</w:t>
      </w:r>
      <w:r w:rsidR="004621A7">
        <w:t xml:space="preserve"> Rechte</w:t>
      </w:r>
      <w:r w:rsidR="00CD0262">
        <w:t>n</w:t>
      </w:r>
      <w:r w:rsidR="004621A7">
        <w:t xml:space="preserve"> und körperlicher</w:t>
      </w:r>
      <w:r w:rsidR="00CD0262">
        <w:t xml:space="preserve"> Selbstbestimmung.</w:t>
      </w:r>
    </w:p>
    <w:p w:rsidR="00146C15" w:rsidRDefault="00C43DA6" w:rsidP="00146C15">
      <w:pPr>
        <w:pStyle w:val="Listenabsatz"/>
        <w:numPr>
          <w:ilvl w:val="0"/>
          <w:numId w:val="1"/>
        </w:numPr>
      </w:pPr>
      <w:r>
        <w:t>Die k</w:t>
      </w:r>
      <w:r w:rsidR="00146C15">
        <w:t>on</w:t>
      </w:r>
      <w:r w:rsidR="00C42445">
        <w:t>sequente Umsetzung der Istanbul-</w:t>
      </w:r>
      <w:r w:rsidR="00146C15">
        <w:t xml:space="preserve">Konvention und des Gewalthilfegesetzes zur wirksamen Bekämpfung </w:t>
      </w:r>
      <w:proofErr w:type="gramStart"/>
      <w:r w:rsidR="00146C15">
        <w:t>jeglicher geschlechtsspezifischer Gewalt</w:t>
      </w:r>
      <w:proofErr w:type="gramEnd"/>
      <w:r w:rsidR="00146C15">
        <w:t xml:space="preserve">.  </w:t>
      </w:r>
    </w:p>
    <w:p w:rsidR="00C42445" w:rsidRDefault="00C43DA6" w:rsidP="00B01903">
      <w:pPr>
        <w:pStyle w:val="Listenabsatz"/>
        <w:numPr>
          <w:ilvl w:val="0"/>
          <w:numId w:val="1"/>
        </w:numPr>
      </w:pPr>
      <w:r w:rsidRPr="00787635">
        <w:t>De</w:t>
      </w:r>
      <w:r w:rsidR="008F57B2">
        <w:t>n</w:t>
      </w:r>
      <w:r w:rsidR="00C42445">
        <w:t xml:space="preserve"> konsequente</w:t>
      </w:r>
      <w:r w:rsidR="00E96173">
        <w:t>n</w:t>
      </w:r>
      <w:r w:rsidR="00C42445">
        <w:t xml:space="preserve"> </w:t>
      </w:r>
      <w:r w:rsidR="00890AB8" w:rsidRPr="00787635">
        <w:t>A</w:t>
      </w:r>
      <w:r w:rsidR="00146C15" w:rsidRPr="00787635">
        <w:t xml:space="preserve">bbau </w:t>
      </w:r>
      <w:r w:rsidR="00C42445">
        <w:t>der ökonomischen Benachteiligung von Frauen.</w:t>
      </w:r>
    </w:p>
    <w:p w:rsidR="00643350" w:rsidRPr="00787635" w:rsidRDefault="00C43DA6" w:rsidP="00B01903">
      <w:pPr>
        <w:pStyle w:val="Listenabsatz"/>
        <w:numPr>
          <w:ilvl w:val="0"/>
          <w:numId w:val="1"/>
        </w:numPr>
      </w:pPr>
      <w:r w:rsidRPr="00787635">
        <w:t xml:space="preserve">Die </w:t>
      </w:r>
      <w:r w:rsidR="00653CD9">
        <w:t xml:space="preserve">Förderung einer </w:t>
      </w:r>
      <w:r w:rsidRPr="00787635">
        <w:t>p</w:t>
      </w:r>
      <w:r w:rsidR="00146C15" w:rsidRPr="00787635">
        <w:t>aritätische</w:t>
      </w:r>
      <w:r w:rsidR="00C42445">
        <w:t>n</w:t>
      </w:r>
      <w:r w:rsidR="00146C15" w:rsidRPr="00787635">
        <w:t xml:space="preserve"> Verteilung von Sorge-, Pflege- und Erwerbsarbeit </w:t>
      </w:r>
      <w:r w:rsidR="00653CD9">
        <w:t xml:space="preserve">durch </w:t>
      </w:r>
      <w:r w:rsidR="00787635">
        <w:t>geeignete politische</w:t>
      </w:r>
      <w:r w:rsidR="00890AB8" w:rsidRPr="00787635">
        <w:t xml:space="preserve"> Maßnahmen.</w:t>
      </w:r>
      <w:r w:rsidR="00146C15" w:rsidRPr="00787635">
        <w:t xml:space="preserve"> </w:t>
      </w:r>
    </w:p>
    <w:p w:rsidR="00C43DA6" w:rsidRDefault="00C43DA6" w:rsidP="00195182">
      <w:pPr>
        <w:pStyle w:val="Listenabsatz"/>
        <w:numPr>
          <w:ilvl w:val="0"/>
          <w:numId w:val="1"/>
        </w:numPr>
      </w:pPr>
      <w:r>
        <w:t>Die rechtliche Absicherung von k</w:t>
      </w:r>
      <w:r w:rsidR="00AB6E66">
        <w:t>ommunale</w:t>
      </w:r>
      <w:r>
        <w:t>n</w:t>
      </w:r>
      <w:r w:rsidR="00AB6E66">
        <w:t xml:space="preserve"> Frauen- und Gleichstellungsstellen als </w:t>
      </w:r>
      <w:r w:rsidR="00890AB8">
        <w:t xml:space="preserve">Pflichtaufgabe. </w:t>
      </w:r>
    </w:p>
    <w:p w:rsidR="00643350" w:rsidRDefault="00653CD9" w:rsidP="00195182">
      <w:pPr>
        <w:pStyle w:val="Listenabsatz"/>
        <w:numPr>
          <w:ilvl w:val="0"/>
          <w:numId w:val="1"/>
        </w:numPr>
      </w:pPr>
      <w:r>
        <w:t>Den Schutz und die Förderung z</w:t>
      </w:r>
      <w:r w:rsidR="00AB6E66">
        <w:t>ivilgesellschaftliche</w:t>
      </w:r>
      <w:r w:rsidR="009C0612">
        <w:t>r</w:t>
      </w:r>
      <w:r w:rsidR="00AB6E66">
        <w:t xml:space="preserve"> gleichstellungspolitische</w:t>
      </w:r>
      <w:r w:rsidR="009C0612">
        <w:t>r</w:t>
      </w:r>
      <w:r w:rsidR="00787635">
        <w:t xml:space="preserve"> Organisationen</w:t>
      </w:r>
      <w:r w:rsidR="00C42445">
        <w:t>.</w:t>
      </w:r>
      <w:r w:rsidR="00787635">
        <w:t xml:space="preserve"> </w:t>
      </w:r>
    </w:p>
    <w:p w:rsidR="008F57B2" w:rsidRDefault="00890AB8">
      <w:pPr>
        <w:pStyle w:val="Listenabsatz"/>
        <w:numPr>
          <w:ilvl w:val="0"/>
          <w:numId w:val="1"/>
        </w:numPr>
      </w:pPr>
      <w:r>
        <w:t xml:space="preserve">Die finanzielle Unterstützung von </w:t>
      </w:r>
      <w:r w:rsidR="00AB6E66">
        <w:t xml:space="preserve">Beratungs- und Informationsstellen </w:t>
      </w:r>
      <w:r w:rsidR="009C0612">
        <w:t xml:space="preserve">zur Gleichstellung sowie </w:t>
      </w:r>
      <w:r w:rsidR="00AB6E66">
        <w:t>gegen Mädchen- und Frauenhass</w:t>
      </w:r>
      <w:r>
        <w:t>.</w:t>
      </w:r>
      <w:r w:rsidR="008F57B2" w:rsidRPr="008F57B2">
        <w:t xml:space="preserve"> </w:t>
      </w:r>
    </w:p>
    <w:p w:rsidR="00643350" w:rsidRDefault="008F57B2">
      <w:pPr>
        <w:pStyle w:val="Listenabsatz"/>
        <w:numPr>
          <w:ilvl w:val="0"/>
          <w:numId w:val="1"/>
        </w:numPr>
      </w:pPr>
      <w:r>
        <w:t>Die Förderung der Forschung und Lehre zu Themen der Gleichstellung sowie zur Analyse von Antifeminismus.</w:t>
      </w:r>
    </w:p>
    <w:p w:rsidR="00643350" w:rsidRPr="008F57B2" w:rsidRDefault="00CC2077" w:rsidP="008F57B2">
      <w:pPr>
        <w:ind w:left="360"/>
      </w:pPr>
      <w:r w:rsidRPr="008F57B2">
        <w:rPr>
          <w:b/>
        </w:rPr>
        <w:t>Gemeinsam für Demokratie und das Recht auf Selbstbestimmung- für eine zukunftsfähige Gesellschaft für alle Menschen!</w:t>
      </w:r>
      <w:r w:rsidR="008F57B2" w:rsidRPr="008F57B2">
        <w:rPr>
          <w:b/>
        </w:rPr>
        <w:t xml:space="preserve">  </w:t>
      </w:r>
      <w:r w:rsidR="008F57B2" w:rsidRPr="008F57B2">
        <w:rPr>
          <w:b/>
        </w:rPr>
        <w:br/>
      </w:r>
      <w:r w:rsidR="00E96173">
        <w:t>Lübeck, den 18</w:t>
      </w:r>
      <w:r w:rsidR="008F57B2" w:rsidRPr="008F57B2">
        <w:t>.05.2026</w:t>
      </w:r>
      <w:r w:rsidR="008F57B2" w:rsidRPr="008F57B2">
        <w:tab/>
      </w:r>
      <w:bookmarkEnd w:id="0"/>
    </w:p>
    <w:sectPr w:rsidR="00643350" w:rsidRPr="008F57B2">
      <w:pgSz w:w="11906" w:h="16838"/>
      <w:pgMar w:top="1417" w:right="1417" w:bottom="1134"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704B1A"/>
    <w:multiLevelType w:val="multilevel"/>
    <w:tmpl w:val="F89AC21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754E0E12"/>
    <w:multiLevelType w:val="multilevel"/>
    <w:tmpl w:val="157A61D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350"/>
    <w:rsid w:val="00146C15"/>
    <w:rsid w:val="001E41B9"/>
    <w:rsid w:val="00202B03"/>
    <w:rsid w:val="002A1D70"/>
    <w:rsid w:val="00384FC8"/>
    <w:rsid w:val="003F4FC4"/>
    <w:rsid w:val="004621A7"/>
    <w:rsid w:val="00643350"/>
    <w:rsid w:val="00653CD9"/>
    <w:rsid w:val="00787635"/>
    <w:rsid w:val="00853E6C"/>
    <w:rsid w:val="00890AB8"/>
    <w:rsid w:val="008F57B2"/>
    <w:rsid w:val="009C0612"/>
    <w:rsid w:val="009D5D44"/>
    <w:rsid w:val="00A31B74"/>
    <w:rsid w:val="00AB6E66"/>
    <w:rsid w:val="00AD7D21"/>
    <w:rsid w:val="00C42445"/>
    <w:rsid w:val="00C43DA6"/>
    <w:rsid w:val="00CC2077"/>
    <w:rsid w:val="00CD0262"/>
    <w:rsid w:val="00D7334A"/>
    <w:rsid w:val="00E9617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547DE"/>
  <w15:docId w15:val="{E2A2A2E3-35F8-43B3-9794-660ACD73A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0766F"/>
    <w:rPr>
      <w:color w:val="0563C1" w:themeColor="hyperlink"/>
      <w:u w:val="single"/>
    </w:rPr>
  </w:style>
  <w:style w:type="character" w:styleId="Fett">
    <w:name w:val="Strong"/>
    <w:basedOn w:val="Absatz-Standardschriftart"/>
    <w:uiPriority w:val="22"/>
    <w:qFormat/>
    <w:rsid w:val="006C18EE"/>
    <w:rPr>
      <w:b/>
      <w:bCs/>
    </w:rPr>
  </w:style>
  <w:style w:type="character" w:customStyle="1" w:styleId="SprechblasentextZchn">
    <w:name w:val="Sprechblasentext Zchn"/>
    <w:basedOn w:val="Absatz-Standardschriftart"/>
    <w:link w:val="Sprechblasentext"/>
    <w:uiPriority w:val="99"/>
    <w:semiHidden/>
    <w:qFormat/>
    <w:rsid w:val="006E2605"/>
    <w:rPr>
      <w:rFonts w:ascii="Segoe UI" w:hAnsi="Segoe UI" w:cs="Segoe UI"/>
      <w:sz w:val="18"/>
      <w:szCs w:val="18"/>
    </w:rPr>
  </w:style>
  <w:style w:type="paragraph" w:customStyle="1" w:styleId="berschrift">
    <w:name w:val="Überschrift"/>
    <w:basedOn w:val="Standard"/>
    <w:next w:val="Textkrper"/>
    <w:qFormat/>
    <w:pPr>
      <w:keepNext/>
      <w:spacing w:before="240" w:after="120"/>
    </w:pPr>
    <w:rPr>
      <w:rFonts w:ascii="Arial" w:eastAsia="Microsoft YaHei" w:hAnsi="Arial" w:cs="Arial Unicode MS"/>
      <w:sz w:val="28"/>
      <w:szCs w:val="28"/>
    </w:rPr>
  </w:style>
  <w:style w:type="paragraph" w:styleId="Textkrper">
    <w:name w:val="Body Text"/>
    <w:basedOn w:val="Standard"/>
    <w:pPr>
      <w:spacing w:after="140" w:line="276" w:lineRule="auto"/>
    </w:pPr>
  </w:style>
  <w:style w:type="paragraph" w:styleId="Liste">
    <w:name w:val="List"/>
    <w:basedOn w:val="Textkrper"/>
    <w:rPr>
      <w:rFonts w:ascii="Arial" w:hAnsi="Arial" w:cs="Arial Unicode MS"/>
      <w:sz w:val="24"/>
    </w:rPr>
  </w:style>
  <w:style w:type="paragraph" w:styleId="Beschriftung">
    <w:name w:val="caption"/>
    <w:basedOn w:val="Standard"/>
    <w:qFormat/>
    <w:pPr>
      <w:suppressLineNumbers/>
      <w:spacing w:before="120" w:after="120"/>
    </w:pPr>
    <w:rPr>
      <w:rFonts w:ascii="Arial" w:hAnsi="Arial" w:cs="Arial Unicode MS"/>
      <w:i/>
      <w:iCs/>
      <w:sz w:val="24"/>
      <w:szCs w:val="24"/>
    </w:rPr>
  </w:style>
  <w:style w:type="paragraph" w:customStyle="1" w:styleId="Verzeichnis">
    <w:name w:val="Verzeichnis"/>
    <w:basedOn w:val="Standard"/>
    <w:qFormat/>
    <w:pPr>
      <w:suppressLineNumbers/>
    </w:pPr>
    <w:rPr>
      <w:rFonts w:ascii="Arial" w:hAnsi="Arial" w:cs="Arial Unicode MS"/>
      <w:sz w:val="24"/>
    </w:rPr>
  </w:style>
  <w:style w:type="paragraph" w:styleId="Listenabsatz">
    <w:name w:val="List Paragraph"/>
    <w:basedOn w:val="Standard"/>
    <w:uiPriority w:val="34"/>
    <w:qFormat/>
    <w:rsid w:val="00D060E3"/>
    <w:pPr>
      <w:ind w:left="720"/>
      <w:contextualSpacing/>
    </w:pPr>
  </w:style>
  <w:style w:type="paragraph" w:styleId="StandardWeb">
    <w:name w:val="Normal (Web)"/>
    <w:basedOn w:val="Standard"/>
    <w:uiPriority w:val="99"/>
    <w:semiHidden/>
    <w:unhideWhenUsed/>
    <w:qFormat/>
    <w:rsid w:val="008D6B66"/>
    <w:pPr>
      <w:spacing w:beforeAutospacing="1" w:afterAutospacing="1" w:line="240" w:lineRule="auto"/>
    </w:pPr>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qFormat/>
    <w:rsid w:val="006E2605"/>
    <w:pPr>
      <w:spacing w:after="0" w:line="240" w:lineRule="auto"/>
    </w:pPr>
    <w:rPr>
      <w:rFonts w:ascii="Segoe UI" w:hAnsi="Segoe UI" w:cs="Segoe UI"/>
      <w:sz w:val="18"/>
      <w:szCs w:val="18"/>
    </w:rPr>
  </w:style>
  <w:style w:type="paragraph" w:customStyle="1" w:styleId="NormaleTabelle1">
    <w:name w:val="Normale Tabelle1"/>
    <w:qFormat/>
    <w:pPr>
      <w:spacing w:after="160" w:line="259" w:lineRule="auto"/>
    </w:pPr>
    <w:rPr>
      <w:rFonts w:ascii="Times New Roman" w:eastAsia="Cambria Math" w:hAnsi="Times New Roman" w:cs="Times New Roman"/>
      <w:sz w:val="20"/>
      <w:szCs w:val="20"/>
      <w:lang w:eastAsia="de-DE"/>
    </w:rPr>
  </w:style>
  <w:style w:type="character" w:styleId="Kommentarzeichen">
    <w:name w:val="annotation reference"/>
    <w:basedOn w:val="Absatz-Standardschriftart"/>
    <w:uiPriority w:val="99"/>
    <w:semiHidden/>
    <w:unhideWhenUsed/>
    <w:rsid w:val="002A1D70"/>
    <w:rPr>
      <w:sz w:val="16"/>
      <w:szCs w:val="16"/>
    </w:rPr>
  </w:style>
  <w:style w:type="paragraph" w:styleId="Kommentartext">
    <w:name w:val="annotation text"/>
    <w:basedOn w:val="Standard"/>
    <w:link w:val="KommentartextZchn"/>
    <w:uiPriority w:val="99"/>
    <w:semiHidden/>
    <w:unhideWhenUsed/>
    <w:rsid w:val="002A1D7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A1D70"/>
    <w:rPr>
      <w:sz w:val="20"/>
      <w:szCs w:val="20"/>
    </w:rPr>
  </w:style>
  <w:style w:type="paragraph" w:styleId="Kommentarthema">
    <w:name w:val="annotation subject"/>
    <w:basedOn w:val="Kommentartext"/>
    <w:next w:val="Kommentartext"/>
    <w:link w:val="KommentarthemaZchn"/>
    <w:uiPriority w:val="99"/>
    <w:semiHidden/>
    <w:unhideWhenUsed/>
    <w:rsid w:val="002A1D70"/>
    <w:rPr>
      <w:b/>
      <w:bCs/>
    </w:rPr>
  </w:style>
  <w:style w:type="character" w:customStyle="1" w:styleId="KommentarthemaZchn">
    <w:name w:val="Kommentarthema Zchn"/>
    <w:basedOn w:val="KommentartextZchn"/>
    <w:link w:val="Kommentarthema"/>
    <w:uiPriority w:val="99"/>
    <w:semiHidden/>
    <w:rsid w:val="002A1D7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5CE75-E092-43C0-BAE9-D18EB059F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468</Words>
  <Characters>2951</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Anke Spiess</dc:creator>
  <dc:description/>
  <cp:lastModifiedBy>Anke Spiess</cp:lastModifiedBy>
  <cp:revision>2</cp:revision>
  <cp:lastPrinted>2026-03-23T10:14:00Z</cp:lastPrinted>
  <dcterms:created xsi:type="dcterms:W3CDTF">2026-05-17T19:10:00Z</dcterms:created>
  <dcterms:modified xsi:type="dcterms:W3CDTF">2026-05-17T19:10:00Z</dcterms:modified>
  <dc:language>de-DE</dc:language>
</cp:coreProperties>
</file>